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1AA5" w14:textId="77777777" w:rsidR="00387ABD" w:rsidRPr="002147BF" w:rsidRDefault="005B2516">
      <w:pPr>
        <w:rPr>
          <w:rFonts w:ascii="Arial" w:hAnsi="Arial" w:cs="Arial"/>
          <w:b/>
          <w:sz w:val="24"/>
          <w:szCs w:val="24"/>
        </w:rPr>
      </w:pPr>
      <w:r w:rsidRPr="002147BF">
        <w:rPr>
          <w:rFonts w:ascii="Arial" w:hAnsi="Arial" w:cs="Arial"/>
          <w:b/>
          <w:sz w:val="24"/>
          <w:szCs w:val="24"/>
        </w:rPr>
        <w:t xml:space="preserve">Salford CVS </w:t>
      </w:r>
      <w:r w:rsidR="00C55A33" w:rsidRPr="002147BF">
        <w:rPr>
          <w:rFonts w:ascii="Arial" w:hAnsi="Arial" w:cs="Arial"/>
          <w:b/>
          <w:sz w:val="24"/>
          <w:szCs w:val="24"/>
        </w:rPr>
        <w:t>Annual Conference</w:t>
      </w:r>
      <w:r w:rsidRPr="002147BF">
        <w:rPr>
          <w:rFonts w:ascii="Arial" w:hAnsi="Arial" w:cs="Arial"/>
          <w:b/>
          <w:sz w:val="24"/>
          <w:szCs w:val="24"/>
        </w:rPr>
        <w:t xml:space="preserve"> </w:t>
      </w:r>
      <w:r w:rsidR="005F3EDB" w:rsidRPr="002147BF">
        <w:rPr>
          <w:rFonts w:ascii="Arial" w:hAnsi="Arial" w:cs="Arial"/>
          <w:b/>
          <w:sz w:val="24"/>
          <w:szCs w:val="24"/>
        </w:rPr>
        <w:t>–</w:t>
      </w:r>
      <w:r w:rsidRPr="002147BF">
        <w:rPr>
          <w:rFonts w:ascii="Arial" w:hAnsi="Arial" w:cs="Arial"/>
          <w:b/>
          <w:sz w:val="24"/>
          <w:szCs w:val="24"/>
        </w:rPr>
        <w:t xml:space="preserve"> </w:t>
      </w:r>
      <w:r w:rsidR="004D17D5" w:rsidRPr="002147BF">
        <w:rPr>
          <w:rFonts w:ascii="Arial" w:hAnsi="Arial" w:cs="Arial"/>
          <w:b/>
          <w:sz w:val="24"/>
          <w:szCs w:val="24"/>
        </w:rPr>
        <w:t>Note</w:t>
      </w:r>
      <w:r w:rsidR="005F3EDB" w:rsidRPr="002147BF">
        <w:rPr>
          <w:rFonts w:ascii="Arial" w:hAnsi="Arial" w:cs="Arial"/>
          <w:b/>
          <w:sz w:val="24"/>
          <w:szCs w:val="24"/>
        </w:rPr>
        <w:t xml:space="preserve"> T</w:t>
      </w:r>
      <w:r w:rsidR="004D17D5" w:rsidRPr="002147BF">
        <w:rPr>
          <w:rFonts w:ascii="Arial" w:hAnsi="Arial" w:cs="Arial"/>
          <w:b/>
          <w:sz w:val="24"/>
          <w:szCs w:val="24"/>
        </w:rPr>
        <w:t>akers</w:t>
      </w:r>
      <w:r w:rsidR="00EB5C7D" w:rsidRPr="002147BF">
        <w:rPr>
          <w:rFonts w:ascii="Arial" w:hAnsi="Arial" w:cs="Arial"/>
          <w:b/>
          <w:sz w:val="24"/>
          <w:szCs w:val="24"/>
        </w:rPr>
        <w:t xml:space="preserve"> </w:t>
      </w:r>
      <w:r w:rsidR="00233E9E" w:rsidRPr="002147BF">
        <w:rPr>
          <w:rFonts w:ascii="Arial" w:hAnsi="Arial" w:cs="Arial"/>
          <w:b/>
          <w:sz w:val="24"/>
          <w:szCs w:val="24"/>
        </w:rPr>
        <w:t>Template</w:t>
      </w:r>
    </w:p>
    <w:p w14:paraId="506DB317" w14:textId="586E8BAA" w:rsidR="00233E9E" w:rsidRPr="009816F1" w:rsidRDefault="002147BF" w:rsidP="009816F1">
      <w:pPr>
        <w:pStyle w:val="NormalWeb"/>
        <w:spacing w:after="150"/>
        <w:rPr>
          <w:rFonts w:ascii="Arial" w:hAnsi="Arial" w:cs="Arial"/>
          <w:b/>
          <w:bCs/>
          <w:lang w:val="en-US"/>
        </w:rPr>
      </w:pPr>
      <w:r w:rsidRPr="002147BF">
        <w:rPr>
          <w:rFonts w:ascii="Arial" w:hAnsi="Arial" w:cs="Arial"/>
          <w:b/>
          <w:bCs/>
          <w:lang w:val="en-US"/>
        </w:rPr>
        <w:t>Live Well: everyday accessible support for everyone in Salford.</w:t>
      </w:r>
      <w:r w:rsidR="00B160CB">
        <w:rPr>
          <w:rFonts w:ascii="Arial" w:hAnsi="Arial" w:cs="Arial"/>
          <w:b/>
          <w:bCs/>
          <w:lang w:val="en-US"/>
        </w:rPr>
        <w:t xml:space="preserve"> </w:t>
      </w:r>
      <w:r w:rsidRPr="002147BF">
        <w:rPr>
          <w:rFonts w:ascii="Arial" w:hAnsi="Arial" w:cs="Arial"/>
          <w:lang w:val="en-US"/>
        </w:rPr>
        <w:t>The role of the Voluntary, Community and Social Enterprise sector in supporting the residents of Salford to Live Well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7797"/>
      </w:tblGrid>
      <w:tr w:rsidR="002147BF" w:rsidRPr="002147BF" w14:paraId="7701354F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7C5F69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Name of workshop</w:t>
            </w:r>
          </w:p>
        </w:tc>
        <w:tc>
          <w:tcPr>
            <w:tcW w:w="7797" w:type="dxa"/>
            <w:vAlign w:val="center"/>
          </w:tcPr>
          <w:p w14:paraId="0D6501C2" w14:textId="6B63DC4C" w:rsidR="00233E9E" w:rsidRPr="002147BF" w:rsidRDefault="00B160CB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 Britain Working</w:t>
            </w:r>
          </w:p>
        </w:tc>
      </w:tr>
      <w:tr w:rsidR="002147BF" w:rsidRPr="002147BF" w14:paraId="73A92BE9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66FCA2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Number of attendees</w:t>
            </w:r>
          </w:p>
        </w:tc>
        <w:tc>
          <w:tcPr>
            <w:tcW w:w="7797" w:type="dxa"/>
            <w:vAlign w:val="center"/>
          </w:tcPr>
          <w:p w14:paraId="7DF679BC" w14:textId="178FA602" w:rsidR="00233E9E" w:rsidRPr="002147BF" w:rsidRDefault="00CE20CE" w:rsidP="00233E9E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4FB8">
              <w:rPr>
                <w:rFonts w:ascii="Arial" w:hAnsi="Arial" w:cs="Arial"/>
              </w:rPr>
              <w:t>3</w:t>
            </w:r>
          </w:p>
        </w:tc>
      </w:tr>
      <w:tr w:rsidR="002147BF" w:rsidRPr="002147BF" w14:paraId="7E2622EF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C068B59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Facilitator</w:t>
            </w:r>
          </w:p>
        </w:tc>
        <w:tc>
          <w:tcPr>
            <w:tcW w:w="7797" w:type="dxa"/>
            <w:vAlign w:val="center"/>
          </w:tcPr>
          <w:p w14:paraId="621C98FE" w14:textId="0A2A4910" w:rsidR="00233E9E" w:rsidRPr="002147BF" w:rsidRDefault="00B160CB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Sandrine Beaunol</w:t>
            </w:r>
          </w:p>
        </w:tc>
      </w:tr>
      <w:tr w:rsidR="002147BF" w:rsidRPr="002147BF" w14:paraId="35C3E045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81722CA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Panel members</w:t>
            </w:r>
          </w:p>
        </w:tc>
        <w:tc>
          <w:tcPr>
            <w:tcW w:w="7797" w:type="dxa"/>
            <w:vAlign w:val="center"/>
          </w:tcPr>
          <w:p w14:paraId="4A9E4B84" w14:textId="5FD78734" w:rsidR="00233E9E" w:rsidRPr="002147BF" w:rsidRDefault="00CE20C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2  - Phil East (Salford Foundation CEO) and Liane Kirk (Groundwork Greater Manchester)</w:t>
            </w:r>
          </w:p>
        </w:tc>
      </w:tr>
      <w:tr w:rsidR="002147BF" w:rsidRPr="002147BF" w14:paraId="14EF2383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67F7E53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 xml:space="preserve">Panel speaker notes </w:t>
            </w:r>
          </w:p>
        </w:tc>
        <w:tc>
          <w:tcPr>
            <w:tcW w:w="7797" w:type="dxa"/>
          </w:tcPr>
          <w:p w14:paraId="4EF640D3" w14:textId="77777777" w:rsidR="00DB728A" w:rsidRDefault="00DB728A" w:rsidP="00916DA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072889A" w14:textId="1D315F86" w:rsidR="00B160CB" w:rsidRPr="002147BF" w:rsidRDefault="00B160CB" w:rsidP="00916DAD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 Lewis-Hood</w:t>
            </w:r>
          </w:p>
        </w:tc>
      </w:tr>
      <w:tr w:rsidR="002147BF" w:rsidRPr="002147BF" w14:paraId="4C309CD2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320878" w14:textId="77777777" w:rsidR="00316CF0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 xml:space="preserve">Q&amp;A notes </w:t>
            </w:r>
          </w:p>
          <w:p w14:paraId="5B7BC00E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t>(question and response)</w:t>
            </w:r>
          </w:p>
        </w:tc>
        <w:tc>
          <w:tcPr>
            <w:tcW w:w="7797" w:type="dxa"/>
          </w:tcPr>
          <w:p w14:paraId="02ADD95B" w14:textId="4BE0927B" w:rsidR="00805F98" w:rsidRDefault="00CE20CE" w:rsidP="00CE20CE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from </w:t>
            </w:r>
            <w:r w:rsidRPr="00CE20CE">
              <w:rPr>
                <w:rFonts w:ascii="Arial" w:hAnsi="Arial" w:cs="Arial"/>
                <w:b/>
                <w:bCs/>
              </w:rPr>
              <w:t>Alexis Shama</w:t>
            </w:r>
            <w:r>
              <w:rPr>
                <w:rFonts w:ascii="Arial" w:hAnsi="Arial" w:cs="Arial"/>
              </w:rPr>
              <w:t xml:space="preserve">: How can we encourage and put in place sustained investment moving forward? </w:t>
            </w:r>
          </w:p>
          <w:p w14:paraId="69C04B08" w14:textId="0AA152DE" w:rsidR="00CE20CE" w:rsidRDefault="00CE20CE" w:rsidP="00CE20C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CE20CE">
              <w:rPr>
                <w:rFonts w:ascii="Arial" w:hAnsi="Arial" w:cs="Arial"/>
                <w:b/>
                <w:bCs/>
              </w:rPr>
              <w:t>Liane:</w:t>
            </w:r>
            <w:r>
              <w:rPr>
                <w:rFonts w:ascii="Arial" w:hAnsi="Arial" w:cs="Arial"/>
              </w:rPr>
              <w:t xml:space="preserve"> Many groups that we work with rely on longer term support in order to set in progress and distance travelled – very important to demonstrate impact, shout about good practice and projects you are working on. Also important to evaluate projects to show progression/development areas.</w:t>
            </w:r>
          </w:p>
          <w:p w14:paraId="4FF19376" w14:textId="645CEFC9" w:rsidR="00CE20CE" w:rsidRDefault="00CE20CE" w:rsidP="00CE20C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Phil: </w:t>
            </w:r>
            <w:r>
              <w:rPr>
                <w:rFonts w:ascii="Arial" w:hAnsi="Arial" w:cs="Arial"/>
              </w:rPr>
              <w:t>Agreed with above – Live Well funding is currently limited - important to look at demonstrating support across the whole journey including once a participant is in employment to show you have made the difference to funders.</w:t>
            </w:r>
          </w:p>
          <w:p w14:paraId="17578DD3" w14:textId="303110C4" w:rsidR="00CE20CE" w:rsidRDefault="00CE20CE" w:rsidP="00CE20CE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from </w:t>
            </w:r>
            <w:r>
              <w:rPr>
                <w:rFonts w:ascii="Arial" w:hAnsi="Arial" w:cs="Arial"/>
                <w:b/>
                <w:bCs/>
              </w:rPr>
              <w:t>Ben Whalley (</w:t>
            </w:r>
            <w:r w:rsidRPr="00CE20CE">
              <w:rPr>
                <w:rFonts w:ascii="Arial" w:hAnsi="Arial" w:cs="Arial"/>
              </w:rPr>
              <w:t xml:space="preserve">Gaddum/CVS) </w:t>
            </w:r>
            <w:r w:rsidR="00ED3936">
              <w:rPr>
                <w:rFonts w:ascii="Arial" w:hAnsi="Arial" w:cs="Arial"/>
              </w:rPr>
              <w:t>–</w:t>
            </w:r>
            <w:r w:rsidRPr="00CE20CE">
              <w:rPr>
                <w:rFonts w:ascii="Arial" w:hAnsi="Arial" w:cs="Arial"/>
              </w:rPr>
              <w:t xml:space="preserve"> </w:t>
            </w:r>
            <w:r w:rsidR="00ED3936">
              <w:rPr>
                <w:rFonts w:ascii="Arial" w:hAnsi="Arial" w:cs="Arial"/>
              </w:rPr>
              <w:t xml:space="preserve">How do we deal with the threat of compliance in funded projects? </w:t>
            </w:r>
          </w:p>
          <w:p w14:paraId="6E419154" w14:textId="6471236C" w:rsidR="00FA2FD1" w:rsidRDefault="00ED3936" w:rsidP="00FA2FD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Phil: </w:t>
            </w:r>
            <w:r>
              <w:rPr>
                <w:rFonts w:ascii="Arial" w:hAnsi="Arial" w:cs="Arial"/>
              </w:rPr>
              <w:t>This requires honest conversations with funders, and is important to consider how increased compliance</w:t>
            </w:r>
            <w:r w:rsidR="00FA2FD1">
              <w:rPr>
                <w:rFonts w:ascii="Arial" w:hAnsi="Arial" w:cs="Arial"/>
              </w:rPr>
              <w:t xml:space="preserve"> responsibilities in the charity sector will damage relationships in communities </w:t>
            </w:r>
          </w:p>
          <w:p w14:paraId="63A540A8" w14:textId="564BBB3B" w:rsidR="00D64095" w:rsidRDefault="00FA2FD1" w:rsidP="00FA2FD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Reece: </w:t>
            </w:r>
            <w:r>
              <w:rPr>
                <w:rFonts w:ascii="Arial" w:hAnsi="Arial" w:cs="Arial"/>
              </w:rPr>
              <w:t xml:space="preserve">Association with certain funders or projects can be a barrier to working with communities, especially with target driven work, which can be hard </w:t>
            </w:r>
            <w:r w:rsidR="00D64095">
              <w:rPr>
                <w:rFonts w:ascii="Arial" w:hAnsi="Arial" w:cs="Arial"/>
              </w:rPr>
              <w:t xml:space="preserve">to balance giving quality support with meeting demanding targets. </w:t>
            </w:r>
          </w:p>
          <w:p w14:paraId="3EE69C9A" w14:textId="77777777" w:rsidR="00DE49BD" w:rsidRDefault="000F3A93" w:rsidP="00FA2FD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Liane:</w:t>
            </w:r>
            <w:r>
              <w:rPr>
                <w:rFonts w:ascii="Arial" w:hAnsi="Arial" w:cs="Arial"/>
              </w:rPr>
              <w:t xml:space="preserve"> </w:t>
            </w:r>
            <w:r w:rsidR="00151D9A" w:rsidRPr="00151D9A">
              <w:rPr>
                <w:rFonts w:ascii="Arial" w:hAnsi="Arial" w:cs="Arial"/>
              </w:rPr>
              <w:t>Over structure</w:t>
            </w:r>
            <w:r w:rsidR="00856596" w:rsidRPr="00151D9A">
              <w:rPr>
                <w:rFonts w:ascii="Arial" w:hAnsi="Arial" w:cs="Arial"/>
              </w:rPr>
              <w:t xml:space="preserve"> </w:t>
            </w:r>
            <w:r w:rsidR="00151D9A" w:rsidRPr="00151D9A">
              <w:rPr>
                <w:rFonts w:ascii="Arial" w:hAnsi="Arial" w:cs="Arial"/>
              </w:rPr>
              <w:t>can harm the outcomes</w:t>
            </w:r>
            <w:r w:rsidR="00151D9A">
              <w:rPr>
                <w:rFonts w:ascii="Arial" w:hAnsi="Arial" w:cs="Arial"/>
              </w:rPr>
              <w:t xml:space="preserve">/effectiveness of a project – important to know our place </w:t>
            </w:r>
            <w:r w:rsidR="00DE49BD">
              <w:rPr>
                <w:rFonts w:ascii="Arial" w:hAnsi="Arial" w:cs="Arial"/>
              </w:rPr>
              <w:t>and what we can achieve effectively without harming overall positive outcomes</w:t>
            </w:r>
          </w:p>
          <w:p w14:paraId="02C96D7F" w14:textId="025B440A" w:rsidR="000F3A93" w:rsidRDefault="008A3F4F" w:rsidP="00FA2FD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Cllr Pepper: ‘</w:t>
            </w:r>
            <w:r>
              <w:rPr>
                <w:rFonts w:ascii="Arial" w:hAnsi="Arial" w:cs="Arial"/>
              </w:rPr>
              <w:t>Definition can be dangerous’</w:t>
            </w:r>
            <w:r w:rsidR="00151D9A" w:rsidRPr="00151D9A">
              <w:rPr>
                <w:rFonts w:ascii="Arial" w:hAnsi="Arial" w:cs="Arial"/>
              </w:rPr>
              <w:t xml:space="preserve"> </w:t>
            </w:r>
            <w:r w:rsidR="0040497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04972">
              <w:rPr>
                <w:rFonts w:ascii="Arial" w:hAnsi="Arial" w:cs="Arial"/>
              </w:rPr>
              <w:t xml:space="preserve">Focusing on what funding can stretch to, and to </w:t>
            </w:r>
            <w:r w:rsidR="00B71C13">
              <w:rPr>
                <w:rFonts w:ascii="Arial" w:hAnsi="Arial" w:cs="Arial"/>
              </w:rPr>
              <w:t xml:space="preserve">reduce restrictive structure where possible. Many participants require long term support </w:t>
            </w:r>
            <w:r w:rsidR="0094340C">
              <w:rPr>
                <w:rFonts w:ascii="Arial" w:hAnsi="Arial" w:cs="Arial"/>
              </w:rPr>
              <w:t>with small steps on their journe</w:t>
            </w:r>
            <w:r w:rsidR="00080F84">
              <w:rPr>
                <w:rFonts w:ascii="Arial" w:hAnsi="Arial" w:cs="Arial"/>
              </w:rPr>
              <w:t>y, a</w:t>
            </w:r>
            <w:r w:rsidR="00AA41E9">
              <w:rPr>
                <w:rFonts w:ascii="Arial" w:hAnsi="Arial" w:cs="Arial"/>
              </w:rPr>
              <w:t>nd can result in wasted money if programmes don’t suit communities its serving</w:t>
            </w:r>
            <w:r w:rsidR="00426A04">
              <w:rPr>
                <w:rFonts w:ascii="Arial" w:hAnsi="Arial" w:cs="Arial"/>
              </w:rPr>
              <w:t xml:space="preserve">/pushing them into unsustainable work which won’t support them. </w:t>
            </w:r>
          </w:p>
          <w:p w14:paraId="1D2263F2" w14:textId="3187CD82" w:rsidR="00F44582" w:rsidRDefault="0045365B" w:rsidP="00F4458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45365B">
              <w:rPr>
                <w:rFonts w:ascii="Arial" w:hAnsi="Arial" w:cs="Arial"/>
              </w:rPr>
              <w:t xml:space="preserve">We require flexibility in skills/work programmes </w:t>
            </w:r>
            <w:r w:rsidR="005A32FC">
              <w:rPr>
                <w:rFonts w:ascii="Arial" w:hAnsi="Arial" w:cs="Arial"/>
              </w:rPr>
              <w:t>with the agency to decide on how they are run and how they are monitored</w:t>
            </w:r>
            <w:r w:rsidR="00D5176D">
              <w:rPr>
                <w:rFonts w:ascii="Arial" w:hAnsi="Arial" w:cs="Arial"/>
              </w:rPr>
              <w:t xml:space="preserve">. Better if VCSE sector can be prominent in these projects rather than council/government </w:t>
            </w:r>
            <w:r w:rsidR="00F44582">
              <w:rPr>
                <w:rFonts w:ascii="Arial" w:hAnsi="Arial" w:cs="Arial"/>
              </w:rPr>
              <w:t>to achieve longer lasting results</w:t>
            </w:r>
          </w:p>
          <w:p w14:paraId="585FF6A3" w14:textId="47DB10E0" w:rsidR="00F44582" w:rsidRDefault="00F44582" w:rsidP="00F44582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from </w:t>
            </w:r>
            <w:r>
              <w:rPr>
                <w:rFonts w:ascii="Arial" w:hAnsi="Arial" w:cs="Arial"/>
                <w:b/>
                <w:bCs/>
              </w:rPr>
              <w:t>Dave Beck</w:t>
            </w:r>
            <w:r>
              <w:rPr>
                <w:rFonts w:ascii="Arial" w:hAnsi="Arial" w:cs="Arial"/>
              </w:rPr>
              <w:t xml:space="preserve"> (University of Salford</w:t>
            </w:r>
            <w:r w:rsidR="008B6089">
              <w:rPr>
                <w:rFonts w:ascii="Arial" w:hAnsi="Arial" w:cs="Arial"/>
              </w:rPr>
              <w:t xml:space="preserve">) What can the education/university sector do better </w:t>
            </w:r>
            <w:r w:rsidR="005D5CA2">
              <w:rPr>
                <w:rFonts w:ascii="Arial" w:hAnsi="Arial" w:cs="Arial"/>
              </w:rPr>
              <w:t xml:space="preserve">to support VCSE sector organisations in Skills &amp; Work </w:t>
            </w:r>
            <w:r w:rsidR="00AA469A">
              <w:rPr>
                <w:rFonts w:ascii="Arial" w:hAnsi="Arial" w:cs="Arial"/>
              </w:rPr>
              <w:t>to create more ‘good’ work and reduce ‘bad’ work</w:t>
            </w:r>
            <w:r w:rsidR="006257A6">
              <w:rPr>
                <w:rFonts w:ascii="Arial" w:hAnsi="Arial" w:cs="Arial"/>
              </w:rPr>
              <w:t>?</w:t>
            </w:r>
          </w:p>
          <w:p w14:paraId="6316E3EC" w14:textId="46E77B2D" w:rsidR="00103E7B" w:rsidRDefault="00103E7B" w:rsidP="00B342A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Phil</w:t>
            </w:r>
            <w:r w:rsidR="00123AEA">
              <w:rPr>
                <w:rFonts w:ascii="Arial" w:hAnsi="Arial" w:cs="Arial"/>
                <w:b/>
                <w:bCs/>
              </w:rPr>
              <w:t xml:space="preserve">: </w:t>
            </w:r>
            <w:r w:rsidR="00D01238">
              <w:rPr>
                <w:rFonts w:ascii="Arial" w:hAnsi="Arial" w:cs="Arial"/>
              </w:rPr>
              <w:t xml:space="preserve">Important that </w:t>
            </w:r>
            <w:r w:rsidR="00123AEA">
              <w:rPr>
                <w:rFonts w:ascii="Arial" w:hAnsi="Arial" w:cs="Arial"/>
              </w:rPr>
              <w:t xml:space="preserve">we create alternative </w:t>
            </w:r>
            <w:r w:rsidR="00D01238">
              <w:rPr>
                <w:rFonts w:ascii="Arial" w:hAnsi="Arial" w:cs="Arial"/>
              </w:rPr>
              <w:t xml:space="preserve">pathways for vocational work </w:t>
            </w:r>
            <w:r w:rsidR="008172DA">
              <w:rPr>
                <w:rFonts w:ascii="Arial" w:hAnsi="Arial" w:cs="Arial"/>
              </w:rPr>
              <w:t>–</w:t>
            </w:r>
            <w:r w:rsidR="00D01238">
              <w:rPr>
                <w:rFonts w:ascii="Arial" w:hAnsi="Arial" w:cs="Arial"/>
              </w:rPr>
              <w:t xml:space="preserve"> </w:t>
            </w:r>
            <w:r w:rsidR="008172DA">
              <w:rPr>
                <w:rFonts w:ascii="Arial" w:hAnsi="Arial" w:cs="Arial"/>
              </w:rPr>
              <w:t xml:space="preserve">working more closely with employers </w:t>
            </w:r>
            <w:r w:rsidR="009A7FBB">
              <w:rPr>
                <w:rFonts w:ascii="Arial" w:hAnsi="Arial" w:cs="Arial"/>
              </w:rPr>
              <w:t xml:space="preserve">to rebalance </w:t>
            </w:r>
            <w:r w:rsidR="00F4653B">
              <w:rPr>
                <w:rFonts w:ascii="Arial" w:hAnsi="Arial" w:cs="Arial"/>
              </w:rPr>
              <w:t xml:space="preserve">overemphasis on university learning which doesn’t suit everyone currently, with few opportunities </w:t>
            </w:r>
            <w:r w:rsidR="00A22354">
              <w:rPr>
                <w:rFonts w:ascii="Arial" w:hAnsi="Arial" w:cs="Arial"/>
              </w:rPr>
              <w:t>connecting universities to suitable work</w:t>
            </w:r>
          </w:p>
          <w:p w14:paraId="2FE672E5" w14:textId="0B53E62D" w:rsidR="00A22354" w:rsidRDefault="008A21A3" w:rsidP="008A21A3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Liane: </w:t>
            </w:r>
            <w:r>
              <w:rPr>
                <w:rFonts w:ascii="Arial" w:hAnsi="Arial" w:cs="Arial"/>
              </w:rPr>
              <w:t>More work needs to be done with school careers advisers giving up to date knowledge</w:t>
            </w:r>
            <w:r w:rsidR="0041134D">
              <w:rPr>
                <w:rFonts w:ascii="Arial" w:hAnsi="Arial" w:cs="Arial"/>
              </w:rPr>
              <w:t xml:space="preserve">/training, and local engagement </w:t>
            </w:r>
            <w:r w:rsidR="004500B0">
              <w:rPr>
                <w:rFonts w:ascii="Arial" w:hAnsi="Arial" w:cs="Arial"/>
              </w:rPr>
              <w:t xml:space="preserve">with employers </w:t>
            </w:r>
          </w:p>
          <w:p w14:paraId="42A461D0" w14:textId="1828A8D5" w:rsidR="00B342AF" w:rsidRDefault="00B342AF" w:rsidP="00B342A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8C10F0">
              <w:rPr>
                <w:rFonts w:ascii="Arial" w:hAnsi="Arial" w:cs="Arial"/>
              </w:rPr>
              <w:t>Question from</w:t>
            </w:r>
            <w:r>
              <w:rPr>
                <w:rFonts w:ascii="Arial" w:hAnsi="Arial" w:cs="Arial"/>
                <w:b/>
                <w:bCs/>
              </w:rPr>
              <w:t xml:space="preserve"> Jenn</w:t>
            </w:r>
            <w:r w:rsidR="008C10F0">
              <w:rPr>
                <w:rFonts w:ascii="Arial" w:hAnsi="Arial" w:cs="Arial"/>
                <w:b/>
                <w:bCs/>
              </w:rPr>
              <w:t xml:space="preserve">ifer-Anne Smith </w:t>
            </w:r>
            <w:r w:rsidR="008C10F0" w:rsidRPr="008C10F0">
              <w:rPr>
                <w:rFonts w:ascii="Arial" w:hAnsi="Arial" w:cs="Arial"/>
              </w:rPr>
              <w:t>(Salford Loaves &amp; Fishes)</w:t>
            </w:r>
            <w:r w:rsidR="00D54005">
              <w:rPr>
                <w:rFonts w:ascii="Arial" w:hAnsi="Arial" w:cs="Arial"/>
              </w:rPr>
              <w:t xml:space="preserve"> – There is limited support available through council/national support services for </w:t>
            </w:r>
            <w:r w:rsidR="000331E0">
              <w:rPr>
                <w:rFonts w:ascii="Arial" w:hAnsi="Arial" w:cs="Arial"/>
              </w:rPr>
              <w:t>Skills</w:t>
            </w:r>
            <w:r w:rsidR="00D54005">
              <w:rPr>
                <w:rFonts w:ascii="Arial" w:hAnsi="Arial" w:cs="Arial"/>
              </w:rPr>
              <w:t xml:space="preserve"> &amp; Work, eg from reduction in CV support</w:t>
            </w:r>
            <w:r w:rsidR="000331E0">
              <w:rPr>
                <w:rFonts w:ascii="Arial" w:hAnsi="Arial" w:cs="Arial"/>
              </w:rPr>
              <w:t xml:space="preserve">. </w:t>
            </w:r>
            <w:r w:rsidR="00AE04BE">
              <w:rPr>
                <w:rFonts w:ascii="Arial" w:hAnsi="Arial" w:cs="Arial"/>
              </w:rPr>
              <w:t>How can we get the pubic sector to fund VCSE organisations</w:t>
            </w:r>
            <w:r w:rsidR="002212EC">
              <w:rPr>
                <w:rFonts w:ascii="Arial" w:hAnsi="Arial" w:cs="Arial"/>
              </w:rPr>
              <w:t>?</w:t>
            </w:r>
          </w:p>
          <w:p w14:paraId="0C1EB2C3" w14:textId="07763D8C" w:rsidR="00A541C1" w:rsidRDefault="00C45303" w:rsidP="002C758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in the room around quality data capture, evidencing and case studies </w:t>
            </w:r>
            <w:r w:rsidR="009878AE">
              <w:rPr>
                <w:rFonts w:ascii="Arial" w:hAnsi="Arial" w:cs="Arial"/>
              </w:rPr>
              <w:t xml:space="preserve">to demonstrate the reasons why VCSE sectors has better reach, </w:t>
            </w:r>
            <w:r w:rsidR="00D41173">
              <w:rPr>
                <w:rFonts w:ascii="Arial" w:hAnsi="Arial" w:cs="Arial"/>
              </w:rPr>
              <w:t xml:space="preserve">is more effective and </w:t>
            </w:r>
            <w:r w:rsidR="002C7586">
              <w:rPr>
                <w:rFonts w:ascii="Arial" w:hAnsi="Arial" w:cs="Arial"/>
              </w:rPr>
              <w:t>provides stronger outcomes</w:t>
            </w:r>
          </w:p>
          <w:p w14:paraId="1F64F74A" w14:textId="3C7EB8B2" w:rsidR="002C7586" w:rsidRPr="008C10F0" w:rsidRDefault="002C7586" w:rsidP="00B342AF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Question from </w:t>
            </w:r>
            <w:r>
              <w:rPr>
                <w:rFonts w:ascii="Arial" w:hAnsi="Arial" w:cs="Arial"/>
                <w:b/>
                <w:bCs/>
              </w:rPr>
              <w:t xml:space="preserve">Sandrine Beaunol </w:t>
            </w:r>
            <w:r>
              <w:rPr>
                <w:rFonts w:ascii="Arial" w:hAnsi="Arial" w:cs="Arial"/>
              </w:rPr>
              <w:t xml:space="preserve">(Elevate Salford) </w:t>
            </w:r>
            <w:r w:rsidR="002351E1">
              <w:rPr>
                <w:rFonts w:ascii="Arial" w:hAnsi="Arial" w:cs="Arial"/>
              </w:rPr>
              <w:t xml:space="preserve">How do we find a balance between person centred practices and filling up roles that are available? </w:t>
            </w:r>
          </w:p>
          <w:p w14:paraId="477D4977" w14:textId="361EA2BB" w:rsidR="00FA2FD1" w:rsidRDefault="002D1BC9" w:rsidP="00FA2FD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050438">
              <w:rPr>
                <w:rFonts w:ascii="Arial" w:hAnsi="Arial" w:cs="Arial"/>
                <w:b/>
                <w:bCs/>
              </w:rPr>
              <w:t>Dave Mayers</w:t>
            </w:r>
            <w:r>
              <w:rPr>
                <w:rFonts w:ascii="Arial" w:hAnsi="Arial" w:cs="Arial"/>
              </w:rPr>
              <w:t xml:space="preserve"> (</w:t>
            </w:r>
            <w:r w:rsidR="00050438">
              <w:rPr>
                <w:rFonts w:ascii="Arial" w:hAnsi="Arial" w:cs="Arial"/>
              </w:rPr>
              <w:t xml:space="preserve">Broughton Trust): </w:t>
            </w:r>
            <w:r w:rsidR="00247248">
              <w:rPr>
                <w:rFonts w:ascii="Arial" w:hAnsi="Arial" w:cs="Arial"/>
              </w:rPr>
              <w:t>Third sector is becoming well recognised as being the best place for this</w:t>
            </w:r>
            <w:r w:rsidR="00C252A1">
              <w:rPr>
                <w:rFonts w:ascii="Arial" w:hAnsi="Arial" w:cs="Arial"/>
              </w:rPr>
              <w:t xml:space="preserve"> – there is strong data backing this up </w:t>
            </w:r>
            <w:r w:rsidR="00B0122F">
              <w:rPr>
                <w:rFonts w:ascii="Arial" w:hAnsi="Arial" w:cs="Arial"/>
              </w:rPr>
              <w:t>now</w:t>
            </w:r>
          </w:p>
          <w:p w14:paraId="58146343" w14:textId="35E9E74E" w:rsidR="0098395C" w:rsidRDefault="0098395C" w:rsidP="00FA2FD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 w:rsidRPr="0098395C">
              <w:rPr>
                <w:rFonts w:ascii="Arial" w:hAnsi="Arial" w:cs="Arial"/>
                <w:b/>
                <w:bCs/>
              </w:rPr>
              <w:t>Cllr Pepper: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51C69" w:rsidRPr="00C51C69">
              <w:rPr>
                <w:rFonts w:ascii="Arial" w:hAnsi="Arial" w:cs="Arial"/>
              </w:rPr>
              <w:t>DWP also showing this, struggling to get good outcomes</w:t>
            </w:r>
            <w:r w:rsidR="00982C0E">
              <w:rPr>
                <w:rFonts w:ascii="Arial" w:hAnsi="Arial" w:cs="Arial"/>
              </w:rPr>
              <w:t xml:space="preserve">. Important that we show journeys and are flexible with time limits, rather than forcing people into </w:t>
            </w:r>
            <w:r w:rsidR="008235C5">
              <w:rPr>
                <w:rFonts w:ascii="Arial" w:hAnsi="Arial" w:cs="Arial"/>
              </w:rPr>
              <w:t>short programmes that don’t give them all the tools they need – long term outcomes are very important</w:t>
            </w:r>
          </w:p>
          <w:p w14:paraId="721BAE81" w14:textId="2B3BBD4F" w:rsidR="008235C5" w:rsidRPr="008235C5" w:rsidRDefault="008235C5" w:rsidP="00FA2FD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Sandrine Beaunol:</w:t>
            </w:r>
            <w:r>
              <w:rPr>
                <w:rFonts w:ascii="Arial" w:hAnsi="Arial" w:cs="Arial"/>
              </w:rPr>
              <w:t xml:space="preserve"> </w:t>
            </w:r>
            <w:r w:rsidR="00F707CD">
              <w:rPr>
                <w:rFonts w:ascii="Arial" w:hAnsi="Arial" w:cs="Arial"/>
              </w:rPr>
              <w:t xml:space="preserve">VSCE sector has been dismissed as </w:t>
            </w:r>
            <w:r w:rsidR="001D48EA">
              <w:rPr>
                <w:rFonts w:ascii="Arial" w:hAnsi="Arial" w:cs="Arial"/>
              </w:rPr>
              <w:t>“</w:t>
            </w:r>
            <w:r w:rsidR="00F707CD">
              <w:rPr>
                <w:rFonts w:ascii="Arial" w:hAnsi="Arial" w:cs="Arial"/>
              </w:rPr>
              <w:t>wooly</w:t>
            </w:r>
            <w:r w:rsidR="001D48EA">
              <w:rPr>
                <w:rFonts w:ascii="Arial" w:hAnsi="Arial" w:cs="Arial"/>
              </w:rPr>
              <w:t>”</w:t>
            </w:r>
            <w:r w:rsidR="003040A3">
              <w:rPr>
                <w:rFonts w:ascii="Arial" w:hAnsi="Arial" w:cs="Arial"/>
              </w:rPr>
              <w:t xml:space="preserve">, however we have shown the depth of outcomes through </w:t>
            </w:r>
            <w:r w:rsidR="00F02F37">
              <w:rPr>
                <w:rFonts w:ascii="Arial" w:hAnsi="Arial" w:cs="Arial"/>
              </w:rPr>
              <w:t>the VCSE sector</w:t>
            </w:r>
          </w:p>
          <w:p w14:paraId="23C2427F" w14:textId="77777777" w:rsidR="00CE20CE" w:rsidRPr="00CE20CE" w:rsidRDefault="00CE20CE" w:rsidP="00CE20C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14:paraId="572AA210" w14:textId="77777777" w:rsidR="00805F98" w:rsidRPr="002147BF" w:rsidRDefault="00805F98" w:rsidP="00805F98">
            <w:pPr>
              <w:pStyle w:val="ListParagraph"/>
              <w:rPr>
                <w:rFonts w:ascii="Arial" w:hAnsi="Arial" w:cs="Arial"/>
              </w:rPr>
            </w:pPr>
          </w:p>
          <w:p w14:paraId="6B7DE0EC" w14:textId="77777777" w:rsidR="00805F98" w:rsidRPr="002147BF" w:rsidRDefault="00805F98" w:rsidP="00062A94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14:paraId="4A7068E9" w14:textId="77777777" w:rsidR="007421C5" w:rsidRPr="002147BF" w:rsidRDefault="007421C5" w:rsidP="007421C5">
            <w:pPr>
              <w:pStyle w:val="ListParagraph"/>
              <w:rPr>
                <w:rFonts w:ascii="Arial" w:hAnsi="Arial" w:cs="Arial"/>
              </w:rPr>
            </w:pPr>
          </w:p>
          <w:p w14:paraId="6CE93A59" w14:textId="0031AB73" w:rsidR="007421C5" w:rsidRPr="002147BF" w:rsidRDefault="007421C5" w:rsidP="007421C5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  <w:p w14:paraId="5753FD7E" w14:textId="77777777" w:rsidR="00DB728A" w:rsidRPr="002147BF" w:rsidRDefault="00DB728A" w:rsidP="00DB728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  <w:tr w:rsidR="00233E9E" w:rsidRPr="002147BF" w14:paraId="062185A8" w14:textId="77777777" w:rsidTr="00C54034">
        <w:trPr>
          <w:trHeight w:val="68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FFCFA27" w14:textId="77777777" w:rsidR="00233E9E" w:rsidRPr="002147BF" w:rsidRDefault="00233E9E" w:rsidP="00233E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2147BF">
              <w:rPr>
                <w:rFonts w:ascii="Arial" w:hAnsi="Arial" w:cs="Arial"/>
                <w:b/>
              </w:rPr>
              <w:lastRenderedPageBreak/>
              <w:t>Practical actions (2-3)</w:t>
            </w:r>
          </w:p>
        </w:tc>
        <w:tc>
          <w:tcPr>
            <w:tcW w:w="7797" w:type="dxa"/>
            <w:vAlign w:val="center"/>
          </w:tcPr>
          <w:p w14:paraId="2715B084" w14:textId="7ED686D7" w:rsidR="00062A94" w:rsidRPr="002147BF" w:rsidRDefault="00062A94" w:rsidP="00805F98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147BF">
              <w:rPr>
                <w:rFonts w:ascii="Arial" w:hAnsi="Arial" w:cs="Arial"/>
              </w:rPr>
              <w:t>.</w:t>
            </w:r>
          </w:p>
        </w:tc>
      </w:tr>
    </w:tbl>
    <w:p w14:paraId="4F113F5E" w14:textId="77777777" w:rsidR="001175A3" w:rsidRPr="002147BF" w:rsidRDefault="001175A3" w:rsidP="005B251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14:paraId="36F0D403" w14:textId="77777777" w:rsidR="00D82D40" w:rsidRDefault="00D82D40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</w:rPr>
      </w:pPr>
    </w:p>
    <w:p w14:paraId="16DB75D3" w14:textId="77777777" w:rsidR="009816F1" w:rsidRPr="00AD2769" w:rsidRDefault="009816F1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</w:p>
    <w:p w14:paraId="02917B87" w14:textId="11727A3B" w:rsidR="00D82D40" w:rsidRPr="00AD2769" w:rsidRDefault="00D82D40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  <w:r w:rsidRPr="00AD2769">
        <w:rPr>
          <w:rFonts w:ascii="Arial" w:hAnsi="Arial" w:cs="Arial"/>
          <w:b/>
          <w:bCs/>
        </w:rPr>
        <w:t>Liane</w:t>
      </w:r>
      <w:r w:rsidR="00461F07" w:rsidRPr="00AD2769">
        <w:rPr>
          <w:rFonts w:ascii="Arial" w:hAnsi="Arial" w:cs="Arial"/>
          <w:b/>
          <w:bCs/>
        </w:rPr>
        <w:t xml:space="preserve"> Kirk – Groundwork</w:t>
      </w:r>
      <w:r w:rsidR="004518EC" w:rsidRPr="00AD2769">
        <w:rPr>
          <w:rFonts w:ascii="Arial" w:hAnsi="Arial" w:cs="Arial"/>
          <w:b/>
          <w:bCs/>
        </w:rPr>
        <w:t xml:space="preserve"> – “Get Britain Working” </w:t>
      </w:r>
    </w:p>
    <w:p w14:paraId="6175882F" w14:textId="48BB1F02" w:rsidR="004518EC" w:rsidRDefault="00076603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Background in employability skills </w:t>
      </w:r>
      <w:r w:rsidR="00550EF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support for mental health</w:t>
      </w:r>
      <w:r w:rsidR="00550EF2">
        <w:rPr>
          <w:rFonts w:ascii="Arial" w:hAnsi="Arial" w:cs="Arial"/>
        </w:rPr>
        <w:t>/wellbeing</w:t>
      </w:r>
      <w:r w:rsidR="00195213">
        <w:rPr>
          <w:rFonts w:ascii="Arial" w:hAnsi="Arial" w:cs="Arial"/>
        </w:rPr>
        <w:t xml:space="preserve"> – discussed the interconnected nature of these areas</w:t>
      </w:r>
    </w:p>
    <w:p w14:paraId="430B607B" w14:textId="1CD07ED8" w:rsidR="00195213" w:rsidRDefault="00195213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Discussed the Get Britain Working White P</w:t>
      </w:r>
      <w:r w:rsidR="00F105C2">
        <w:rPr>
          <w:rFonts w:ascii="Arial" w:hAnsi="Arial" w:cs="Arial"/>
        </w:rPr>
        <w:t xml:space="preserve">aper, including </w:t>
      </w:r>
      <w:r w:rsidR="00B0564F">
        <w:rPr>
          <w:rFonts w:ascii="Arial" w:hAnsi="Arial" w:cs="Arial"/>
        </w:rPr>
        <w:t>the recent driver of long term sickness and work limiting health conditions</w:t>
      </w:r>
    </w:p>
    <w:p w14:paraId="3D4768A0" w14:textId="05FF49C8" w:rsidR="00B0564F" w:rsidRDefault="00551E74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Reframing this by considering ‘What makes working work</w:t>
      </w:r>
      <w:r w:rsidR="00771DFF">
        <w:rPr>
          <w:rFonts w:ascii="Arial" w:hAnsi="Arial" w:cs="Arial"/>
        </w:rPr>
        <w:t>?</w:t>
      </w:r>
      <w:r>
        <w:rPr>
          <w:rFonts w:ascii="Arial" w:hAnsi="Arial" w:cs="Arial"/>
        </w:rPr>
        <w:t>’</w:t>
      </w:r>
    </w:p>
    <w:p w14:paraId="76DF7AF5" w14:textId="3C241F78" w:rsidR="00771DFF" w:rsidRDefault="004D0F1C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Many disparities in</w:t>
      </w:r>
      <w:r w:rsidR="00DD2091">
        <w:rPr>
          <w:rFonts w:ascii="Arial" w:hAnsi="Arial" w:cs="Arial"/>
        </w:rPr>
        <w:t xml:space="preserve"> skills &amp; skills gaps/growing </w:t>
      </w:r>
      <w:r w:rsidR="00735E48">
        <w:rPr>
          <w:rFonts w:ascii="Arial" w:hAnsi="Arial" w:cs="Arial"/>
        </w:rPr>
        <w:t>insecure employment</w:t>
      </w:r>
      <w:r w:rsidR="00DD2091">
        <w:rPr>
          <w:rFonts w:ascii="Arial" w:hAnsi="Arial" w:cs="Arial"/>
        </w:rPr>
        <w:t xml:space="preserve"> across different demographic groups</w:t>
      </w:r>
      <w:r w:rsidR="00735E48">
        <w:rPr>
          <w:rFonts w:ascii="Arial" w:hAnsi="Arial" w:cs="Arial"/>
        </w:rPr>
        <w:t>, and limited opportunities for progression</w:t>
      </w:r>
      <w:r w:rsidR="009B6C29">
        <w:rPr>
          <w:rFonts w:ascii="Arial" w:hAnsi="Arial" w:cs="Arial"/>
        </w:rPr>
        <w:t xml:space="preserve"> </w:t>
      </w:r>
    </w:p>
    <w:p w14:paraId="5DEB55E7" w14:textId="4392BFA6" w:rsidR="00735E48" w:rsidRDefault="008C26D3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Radical change needed to address this, including tackling NHS wa</w:t>
      </w:r>
      <w:r w:rsidR="00A2250D">
        <w:rPr>
          <w:rFonts w:ascii="Arial" w:hAnsi="Arial" w:cs="Arial"/>
        </w:rPr>
        <w:t>itlists and embedding work support in these pathways</w:t>
      </w:r>
      <w:r w:rsidR="0037326D">
        <w:rPr>
          <w:rFonts w:ascii="Arial" w:hAnsi="Arial" w:cs="Arial"/>
        </w:rPr>
        <w:t xml:space="preserve">, alongside better support for </w:t>
      </w:r>
      <w:r w:rsidR="006A3FFF">
        <w:rPr>
          <w:rFonts w:ascii="Arial" w:hAnsi="Arial" w:cs="Arial"/>
        </w:rPr>
        <w:t>young people</w:t>
      </w:r>
      <w:r w:rsidR="00F95801">
        <w:rPr>
          <w:rFonts w:ascii="Arial" w:hAnsi="Arial" w:cs="Arial"/>
        </w:rPr>
        <w:t xml:space="preserve"> due to high levels of NEET YP</w:t>
      </w:r>
    </w:p>
    <w:p w14:paraId="5281F096" w14:textId="2299A483" w:rsidR="005F3722" w:rsidRDefault="005F3722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Reform also needed in health &amp; disabilit</w:t>
      </w:r>
      <w:r w:rsidR="00400394">
        <w:rPr>
          <w:rFonts w:ascii="Arial" w:hAnsi="Arial" w:cs="Arial"/>
        </w:rPr>
        <w:t>y systems</w:t>
      </w:r>
    </w:p>
    <w:p w14:paraId="77086CD6" w14:textId="1B053FA9" w:rsidR="00F95801" w:rsidRDefault="00F95801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Connect to work </w:t>
      </w:r>
      <w:r w:rsidR="00AB569F">
        <w:rPr>
          <w:rFonts w:ascii="Arial" w:hAnsi="Arial" w:cs="Arial"/>
        </w:rPr>
        <w:t>through Trailblazer aiming to raise employment rates</w:t>
      </w:r>
      <w:r w:rsidR="001B15A1">
        <w:rPr>
          <w:rFonts w:ascii="Arial" w:hAnsi="Arial" w:cs="Arial"/>
        </w:rPr>
        <w:t>, remove barriers and improve quality of work – Elevate Salford, Salford Futures</w:t>
      </w:r>
      <w:r w:rsidR="00872014">
        <w:rPr>
          <w:rFonts w:ascii="Arial" w:hAnsi="Arial" w:cs="Arial"/>
        </w:rPr>
        <w:t xml:space="preserve"> &amp; Salford Employment Hub through TGC </w:t>
      </w:r>
    </w:p>
    <w:p w14:paraId="35C5D333" w14:textId="33A97B13" w:rsidR="00872014" w:rsidRDefault="00872014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This has relied so far on </w:t>
      </w:r>
      <w:r w:rsidR="00156D21">
        <w:rPr>
          <w:rFonts w:ascii="Arial" w:hAnsi="Arial" w:cs="Arial"/>
        </w:rPr>
        <w:t>engagement in communities, enabling clear pathways, taking a person centred</w:t>
      </w:r>
      <w:r w:rsidR="002D129D">
        <w:rPr>
          <w:rFonts w:ascii="Arial" w:hAnsi="Arial" w:cs="Arial"/>
        </w:rPr>
        <w:t xml:space="preserve">/trauma informed approach, being adaptable with participants </w:t>
      </w:r>
      <w:r w:rsidR="009D0001">
        <w:rPr>
          <w:rFonts w:ascii="Arial" w:hAnsi="Arial" w:cs="Arial"/>
        </w:rPr>
        <w:t>and understanding professional boundaries</w:t>
      </w:r>
    </w:p>
    <w:p w14:paraId="3CFD2DD3" w14:textId="0B9FF304" w:rsidR="00CD2688" w:rsidRDefault="00CD2688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Shared impact through a GW case study </w:t>
      </w:r>
    </w:p>
    <w:p w14:paraId="6C190554" w14:textId="332E153E" w:rsidR="00CD2688" w:rsidRDefault="00CD2688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Discussed the importance of linking this work in with Live Well</w:t>
      </w:r>
      <w:r w:rsidR="00100EAB">
        <w:rPr>
          <w:rFonts w:ascii="Arial" w:hAnsi="Arial" w:cs="Arial"/>
        </w:rPr>
        <w:t xml:space="preserve">, working in collaboration </w:t>
      </w:r>
      <w:r w:rsidR="004E135A">
        <w:rPr>
          <w:rFonts w:ascii="Arial" w:hAnsi="Arial" w:cs="Arial"/>
        </w:rPr>
        <w:t xml:space="preserve">and blending programmes to get stronger outcomes, and operating a ‘no wrong door’ policy </w:t>
      </w:r>
    </w:p>
    <w:p w14:paraId="1BF96947" w14:textId="47E8CC7E" w:rsidR="004E135A" w:rsidRDefault="007B0E18" w:rsidP="004518EC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Discussed the importance of evidencing effectiveness </w:t>
      </w:r>
      <w:r w:rsidR="00765F22">
        <w:rPr>
          <w:rFonts w:ascii="Arial" w:hAnsi="Arial" w:cs="Arial"/>
        </w:rPr>
        <w:t xml:space="preserve">and positive change, and extending the VCSE sector to </w:t>
      </w:r>
      <w:r w:rsidR="007D20B9">
        <w:rPr>
          <w:rFonts w:ascii="Arial" w:hAnsi="Arial" w:cs="Arial"/>
        </w:rPr>
        <w:t>integrate with other service delivery eg NHS/local employers</w:t>
      </w:r>
      <w:r w:rsidR="005E7CF2">
        <w:rPr>
          <w:rFonts w:ascii="Arial" w:hAnsi="Arial" w:cs="Arial"/>
        </w:rPr>
        <w:t xml:space="preserve">, and </w:t>
      </w:r>
      <w:r w:rsidR="00B32EE1">
        <w:rPr>
          <w:rFonts w:ascii="Arial" w:hAnsi="Arial" w:cs="Arial"/>
        </w:rPr>
        <w:t>planning for sustained investment</w:t>
      </w:r>
      <w:r w:rsidR="009816F1">
        <w:rPr>
          <w:rFonts w:ascii="Arial" w:hAnsi="Arial" w:cs="Arial"/>
        </w:rPr>
        <w:br/>
      </w:r>
    </w:p>
    <w:p w14:paraId="5989CF82" w14:textId="3FAC1AE0" w:rsidR="00B32EE1" w:rsidRPr="00AD2769" w:rsidRDefault="00B32EE1" w:rsidP="00B32EE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</w:rPr>
      </w:pPr>
      <w:r w:rsidRPr="00AD2769">
        <w:rPr>
          <w:rFonts w:ascii="Arial" w:hAnsi="Arial" w:cs="Arial"/>
          <w:b/>
          <w:bCs/>
        </w:rPr>
        <w:t>Phil East</w:t>
      </w:r>
      <w:r w:rsidR="00F92818" w:rsidRPr="00AD2769">
        <w:rPr>
          <w:rFonts w:ascii="Arial" w:hAnsi="Arial" w:cs="Arial"/>
          <w:b/>
          <w:bCs/>
        </w:rPr>
        <w:t xml:space="preserve"> - Salford Foundation </w:t>
      </w:r>
    </w:p>
    <w:p w14:paraId="536B2A0A" w14:textId="536CFDC4" w:rsidR="00F92818" w:rsidRDefault="00B20767" w:rsidP="00F9281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Discussed experience working to overcome disadvantage, and enabling people to change their lives</w:t>
      </w:r>
    </w:p>
    <w:p w14:paraId="78BB0BB7" w14:textId="6A5DF883" w:rsidR="00B20767" w:rsidRPr="00442CD6" w:rsidRDefault="00732145" w:rsidP="00442CD6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Salford Foundation has a main focus on victims of Domestic abuse and ex-offenders</w:t>
      </w:r>
      <w:r w:rsidR="00442CD6">
        <w:rPr>
          <w:rFonts w:ascii="Arial" w:hAnsi="Arial" w:cs="Arial"/>
        </w:rPr>
        <w:t xml:space="preserve">, and the </w:t>
      </w:r>
      <w:r w:rsidR="00442CD6">
        <w:rPr>
          <w:rFonts w:ascii="Arial" w:hAnsi="Arial" w:cs="Arial"/>
        </w:rPr>
        <w:t>importance for having a presence in the social justice sector</w:t>
      </w:r>
    </w:p>
    <w:p w14:paraId="1A4950ED" w14:textId="12F40906" w:rsidR="00D96A5A" w:rsidRDefault="00D96A5A" w:rsidP="00F9281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Discussed the importance of </w:t>
      </w:r>
      <w:r w:rsidR="00136823">
        <w:rPr>
          <w:rFonts w:ascii="Arial" w:hAnsi="Arial" w:cs="Arial"/>
        </w:rPr>
        <w:t>acknowledging connotation</w:t>
      </w:r>
      <w:r w:rsidR="00E90283">
        <w:rPr>
          <w:rFonts w:ascii="Arial" w:hAnsi="Arial" w:cs="Arial"/>
        </w:rPr>
        <w:t>s</w:t>
      </w:r>
      <w:r w:rsidR="00136823">
        <w:rPr>
          <w:rFonts w:ascii="Arial" w:hAnsi="Arial" w:cs="Arial"/>
        </w:rPr>
        <w:t xml:space="preserve"> associated with ‘Get Britain Working’ </w:t>
      </w:r>
    </w:p>
    <w:p w14:paraId="3DA8C3BA" w14:textId="36F08F57" w:rsidR="00A85BAF" w:rsidRDefault="00FE60D8" w:rsidP="00F9281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VCSE sector is needed by DWP, council</w:t>
      </w:r>
      <w:r w:rsidR="008B67D9">
        <w:rPr>
          <w:rFonts w:ascii="Arial" w:hAnsi="Arial" w:cs="Arial"/>
        </w:rPr>
        <w:t>s</w:t>
      </w:r>
      <w:r>
        <w:rPr>
          <w:rFonts w:ascii="Arial" w:hAnsi="Arial" w:cs="Arial"/>
        </w:rPr>
        <w:t>, government departments to reach and interact with people in communities</w:t>
      </w:r>
    </w:p>
    <w:p w14:paraId="3529CD70" w14:textId="7C893CC5" w:rsidR="008B67D9" w:rsidRDefault="005038DC" w:rsidP="00F9281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Discussed Live Well and the need for welcoming places, operating the ‘no wrong door’ approach by </w:t>
      </w:r>
      <w:r w:rsidR="00D163B3">
        <w:rPr>
          <w:rFonts w:ascii="Arial" w:hAnsi="Arial" w:cs="Arial"/>
        </w:rPr>
        <w:t>being aware of partners and other local orgs</w:t>
      </w:r>
      <w:r w:rsidR="00DD3B50">
        <w:rPr>
          <w:rFonts w:ascii="Arial" w:hAnsi="Arial" w:cs="Arial"/>
        </w:rPr>
        <w:t xml:space="preserve">, making support easily accessible through introductions </w:t>
      </w:r>
    </w:p>
    <w:p w14:paraId="22CEEDB3" w14:textId="72E6CBC6" w:rsidR="00DD3B50" w:rsidRDefault="005501D1" w:rsidP="00F9281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Discussed importance of </w:t>
      </w:r>
      <w:r w:rsidR="00901D3F">
        <w:rPr>
          <w:rFonts w:ascii="Arial" w:hAnsi="Arial" w:cs="Arial"/>
        </w:rPr>
        <w:t xml:space="preserve">the sequencing of </w:t>
      </w:r>
      <w:r w:rsidR="0021315B">
        <w:rPr>
          <w:rFonts w:ascii="Arial" w:hAnsi="Arial" w:cs="Arial"/>
        </w:rPr>
        <w:t>interactions</w:t>
      </w:r>
      <w:r w:rsidR="00901D3F">
        <w:rPr>
          <w:rFonts w:ascii="Arial" w:hAnsi="Arial" w:cs="Arial"/>
        </w:rPr>
        <w:t xml:space="preserve"> with participants – not forcing people into work/</w:t>
      </w:r>
      <w:r w:rsidR="0021315B">
        <w:rPr>
          <w:rFonts w:ascii="Arial" w:hAnsi="Arial" w:cs="Arial"/>
        </w:rPr>
        <w:t>opportunities</w:t>
      </w:r>
      <w:r w:rsidR="00901D3F">
        <w:rPr>
          <w:rFonts w:ascii="Arial" w:hAnsi="Arial" w:cs="Arial"/>
        </w:rPr>
        <w:t xml:space="preserve"> they aren’t </w:t>
      </w:r>
      <w:r w:rsidR="0021315B">
        <w:rPr>
          <w:rFonts w:ascii="Arial" w:hAnsi="Arial" w:cs="Arial"/>
        </w:rPr>
        <w:t xml:space="preserve">interested in/aren’t ready for </w:t>
      </w:r>
    </w:p>
    <w:p w14:paraId="609DB3EE" w14:textId="6EB39DEB" w:rsidR="00300B29" w:rsidRDefault="00300B29" w:rsidP="00F9281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Discussed </w:t>
      </w:r>
      <w:r w:rsidR="00D842E5">
        <w:rPr>
          <w:rFonts w:ascii="Arial" w:hAnsi="Arial" w:cs="Arial"/>
        </w:rPr>
        <w:t>the</w:t>
      </w:r>
      <w:r w:rsidR="006D2ABC">
        <w:rPr>
          <w:rFonts w:ascii="Arial" w:hAnsi="Arial" w:cs="Arial"/>
        </w:rPr>
        <w:t xml:space="preserve"> large group of people in UK that cannot imagine themselves working – strong role </w:t>
      </w:r>
      <w:r w:rsidR="00E6571C">
        <w:rPr>
          <w:rFonts w:ascii="Arial" w:hAnsi="Arial" w:cs="Arial"/>
        </w:rPr>
        <w:t xml:space="preserve">for VCSE sector to gradually </w:t>
      </w:r>
      <w:r w:rsidR="006C20C8">
        <w:rPr>
          <w:rFonts w:ascii="Arial" w:hAnsi="Arial" w:cs="Arial"/>
        </w:rPr>
        <w:t>build people up to reframe their understanding of what work is and could be for them</w:t>
      </w:r>
    </w:p>
    <w:p w14:paraId="1CA6EDFB" w14:textId="39C25B5F" w:rsidR="006C20C8" w:rsidRDefault="00D842E5" w:rsidP="00F92818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>
        <w:rPr>
          <w:rFonts w:ascii="Arial" w:hAnsi="Arial" w:cs="Arial"/>
        </w:rPr>
        <w:t>Discussed the role for Live Well to play in building on existing connections</w:t>
      </w:r>
      <w:r w:rsidR="00C41B2E">
        <w:rPr>
          <w:rFonts w:ascii="Arial" w:hAnsi="Arial" w:cs="Arial"/>
        </w:rPr>
        <w:t>, practices, partnerships and systems rather than reinventing the structure</w:t>
      </w:r>
    </w:p>
    <w:p w14:paraId="0C33FD13" w14:textId="77777777" w:rsidR="00461F07" w:rsidRPr="002147BF" w:rsidRDefault="00461F07" w:rsidP="00233E9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sectPr w:rsidR="00461F07" w:rsidRPr="002147BF" w:rsidSect="00233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667"/>
    <w:multiLevelType w:val="hybridMultilevel"/>
    <w:tmpl w:val="5FD8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23FBD"/>
    <w:multiLevelType w:val="multilevel"/>
    <w:tmpl w:val="DF3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705E0"/>
    <w:multiLevelType w:val="hybridMultilevel"/>
    <w:tmpl w:val="1AD2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49F5"/>
    <w:multiLevelType w:val="hybridMultilevel"/>
    <w:tmpl w:val="C9C4F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27B7"/>
    <w:multiLevelType w:val="multilevel"/>
    <w:tmpl w:val="890A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94822"/>
    <w:multiLevelType w:val="hybridMultilevel"/>
    <w:tmpl w:val="14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7769"/>
    <w:multiLevelType w:val="multilevel"/>
    <w:tmpl w:val="9188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E2366"/>
    <w:multiLevelType w:val="hybridMultilevel"/>
    <w:tmpl w:val="84D8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E0EEB"/>
    <w:multiLevelType w:val="hybridMultilevel"/>
    <w:tmpl w:val="12EE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B7964"/>
    <w:multiLevelType w:val="hybridMultilevel"/>
    <w:tmpl w:val="6D18D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F9E"/>
    <w:multiLevelType w:val="hybridMultilevel"/>
    <w:tmpl w:val="1BC6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9184C"/>
    <w:multiLevelType w:val="hybridMultilevel"/>
    <w:tmpl w:val="DAF6C0E2"/>
    <w:lvl w:ilvl="0" w:tplc="F7562D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15272"/>
    <w:multiLevelType w:val="hybridMultilevel"/>
    <w:tmpl w:val="5EF41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C52ED"/>
    <w:multiLevelType w:val="hybridMultilevel"/>
    <w:tmpl w:val="2C8E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77915"/>
    <w:multiLevelType w:val="hybridMultilevel"/>
    <w:tmpl w:val="F63612F2"/>
    <w:lvl w:ilvl="0" w:tplc="F7562D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97218">
    <w:abstractNumId w:val="10"/>
  </w:num>
  <w:num w:numId="2" w16cid:durableId="18817212">
    <w:abstractNumId w:val="5"/>
  </w:num>
  <w:num w:numId="3" w16cid:durableId="1170944620">
    <w:abstractNumId w:val="6"/>
  </w:num>
  <w:num w:numId="4" w16cid:durableId="1638098731">
    <w:abstractNumId w:val="1"/>
  </w:num>
  <w:num w:numId="5" w16cid:durableId="960264703">
    <w:abstractNumId w:val="4"/>
  </w:num>
  <w:num w:numId="6" w16cid:durableId="124275723">
    <w:abstractNumId w:val="9"/>
  </w:num>
  <w:num w:numId="7" w16cid:durableId="1459757206">
    <w:abstractNumId w:val="13"/>
  </w:num>
  <w:num w:numId="8" w16cid:durableId="1308167867">
    <w:abstractNumId w:val="7"/>
  </w:num>
  <w:num w:numId="9" w16cid:durableId="1413356388">
    <w:abstractNumId w:val="3"/>
  </w:num>
  <w:num w:numId="10" w16cid:durableId="1996105008">
    <w:abstractNumId w:val="8"/>
  </w:num>
  <w:num w:numId="11" w16cid:durableId="218564168">
    <w:abstractNumId w:val="12"/>
  </w:num>
  <w:num w:numId="12" w16cid:durableId="514540157">
    <w:abstractNumId w:val="2"/>
  </w:num>
  <w:num w:numId="13" w16cid:durableId="1687488409">
    <w:abstractNumId w:val="0"/>
  </w:num>
  <w:num w:numId="14" w16cid:durableId="1045107495">
    <w:abstractNumId w:val="11"/>
  </w:num>
  <w:num w:numId="15" w16cid:durableId="890120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0MDY2MTEyNLY0MjVX0lEKTi0uzszPAykwrAUAxFYKvywAAAA="/>
  </w:docVars>
  <w:rsids>
    <w:rsidRoot w:val="00C55A33"/>
    <w:rsid w:val="000331E0"/>
    <w:rsid w:val="00050438"/>
    <w:rsid w:val="00062A94"/>
    <w:rsid w:val="00066533"/>
    <w:rsid w:val="00076603"/>
    <w:rsid w:val="00080F84"/>
    <w:rsid w:val="000F3A93"/>
    <w:rsid w:val="000F4434"/>
    <w:rsid w:val="00100EAB"/>
    <w:rsid w:val="00103E7B"/>
    <w:rsid w:val="001175A3"/>
    <w:rsid w:val="00123AEA"/>
    <w:rsid w:val="00136823"/>
    <w:rsid w:val="00151D9A"/>
    <w:rsid w:val="00156D21"/>
    <w:rsid w:val="00172654"/>
    <w:rsid w:val="00195213"/>
    <w:rsid w:val="001B15A1"/>
    <w:rsid w:val="001B685F"/>
    <w:rsid w:val="001D48EA"/>
    <w:rsid w:val="0021315B"/>
    <w:rsid w:val="002147BF"/>
    <w:rsid w:val="002212EC"/>
    <w:rsid w:val="00233E9E"/>
    <w:rsid w:val="002351E1"/>
    <w:rsid w:val="00247248"/>
    <w:rsid w:val="002C7586"/>
    <w:rsid w:val="002D129D"/>
    <w:rsid w:val="002D1BC9"/>
    <w:rsid w:val="0030014B"/>
    <w:rsid w:val="00300B29"/>
    <w:rsid w:val="003040A3"/>
    <w:rsid w:val="00316CF0"/>
    <w:rsid w:val="0037326D"/>
    <w:rsid w:val="00387ABD"/>
    <w:rsid w:val="003C2CEA"/>
    <w:rsid w:val="00400394"/>
    <w:rsid w:val="00404972"/>
    <w:rsid w:val="0041134D"/>
    <w:rsid w:val="00426A04"/>
    <w:rsid w:val="00442CD6"/>
    <w:rsid w:val="004500B0"/>
    <w:rsid w:val="004518EC"/>
    <w:rsid w:val="0045365B"/>
    <w:rsid w:val="00461F07"/>
    <w:rsid w:val="00491551"/>
    <w:rsid w:val="004D0F1C"/>
    <w:rsid w:val="004D17D5"/>
    <w:rsid w:val="004E135A"/>
    <w:rsid w:val="005038DC"/>
    <w:rsid w:val="005501D1"/>
    <w:rsid w:val="00550EF2"/>
    <w:rsid w:val="00551E74"/>
    <w:rsid w:val="0057253F"/>
    <w:rsid w:val="005A32FC"/>
    <w:rsid w:val="005B2516"/>
    <w:rsid w:val="005C4FB8"/>
    <w:rsid w:val="005D5CA2"/>
    <w:rsid w:val="005E7CF2"/>
    <w:rsid w:val="005F3722"/>
    <w:rsid w:val="005F3EDB"/>
    <w:rsid w:val="00600737"/>
    <w:rsid w:val="006051B7"/>
    <w:rsid w:val="00623BB7"/>
    <w:rsid w:val="006257A6"/>
    <w:rsid w:val="006354C4"/>
    <w:rsid w:val="0067504B"/>
    <w:rsid w:val="006A3FFF"/>
    <w:rsid w:val="006C20C8"/>
    <w:rsid w:val="006D2ABC"/>
    <w:rsid w:val="00705893"/>
    <w:rsid w:val="00732145"/>
    <w:rsid w:val="00735E48"/>
    <w:rsid w:val="007421C5"/>
    <w:rsid w:val="00765F22"/>
    <w:rsid w:val="00771DFF"/>
    <w:rsid w:val="007B0E18"/>
    <w:rsid w:val="007D20B9"/>
    <w:rsid w:val="007E29E5"/>
    <w:rsid w:val="00805F98"/>
    <w:rsid w:val="00812F6A"/>
    <w:rsid w:val="008172DA"/>
    <w:rsid w:val="008235C5"/>
    <w:rsid w:val="00856596"/>
    <w:rsid w:val="00872014"/>
    <w:rsid w:val="008A21A3"/>
    <w:rsid w:val="008A3F4F"/>
    <w:rsid w:val="008B1DCA"/>
    <w:rsid w:val="008B3384"/>
    <w:rsid w:val="008B6089"/>
    <w:rsid w:val="008B67D9"/>
    <w:rsid w:val="008C10F0"/>
    <w:rsid w:val="008C26D3"/>
    <w:rsid w:val="00901D3F"/>
    <w:rsid w:val="0091297E"/>
    <w:rsid w:val="00916DAD"/>
    <w:rsid w:val="0094340C"/>
    <w:rsid w:val="009816F1"/>
    <w:rsid w:val="00982C0E"/>
    <w:rsid w:val="0098395C"/>
    <w:rsid w:val="009878AE"/>
    <w:rsid w:val="009A7FBB"/>
    <w:rsid w:val="009B6C29"/>
    <w:rsid w:val="009D0001"/>
    <w:rsid w:val="00A01785"/>
    <w:rsid w:val="00A1651D"/>
    <w:rsid w:val="00A174B1"/>
    <w:rsid w:val="00A22354"/>
    <w:rsid w:val="00A2250D"/>
    <w:rsid w:val="00A367F2"/>
    <w:rsid w:val="00A541C1"/>
    <w:rsid w:val="00A85BAF"/>
    <w:rsid w:val="00AA28CE"/>
    <w:rsid w:val="00AA41E9"/>
    <w:rsid w:val="00AA469A"/>
    <w:rsid w:val="00AB569F"/>
    <w:rsid w:val="00AD2769"/>
    <w:rsid w:val="00AE04BE"/>
    <w:rsid w:val="00B0122F"/>
    <w:rsid w:val="00B0564F"/>
    <w:rsid w:val="00B160CB"/>
    <w:rsid w:val="00B20767"/>
    <w:rsid w:val="00B32EE1"/>
    <w:rsid w:val="00B342AF"/>
    <w:rsid w:val="00B71C13"/>
    <w:rsid w:val="00B9140B"/>
    <w:rsid w:val="00BA2F53"/>
    <w:rsid w:val="00C17EA6"/>
    <w:rsid w:val="00C252A1"/>
    <w:rsid w:val="00C4025C"/>
    <w:rsid w:val="00C41B2E"/>
    <w:rsid w:val="00C45303"/>
    <w:rsid w:val="00C51C69"/>
    <w:rsid w:val="00C54034"/>
    <w:rsid w:val="00C55A33"/>
    <w:rsid w:val="00CB16E3"/>
    <w:rsid w:val="00CD2688"/>
    <w:rsid w:val="00CE20CE"/>
    <w:rsid w:val="00D01238"/>
    <w:rsid w:val="00D163B3"/>
    <w:rsid w:val="00D163F0"/>
    <w:rsid w:val="00D41173"/>
    <w:rsid w:val="00D42CED"/>
    <w:rsid w:val="00D44146"/>
    <w:rsid w:val="00D47954"/>
    <w:rsid w:val="00D5176D"/>
    <w:rsid w:val="00D54005"/>
    <w:rsid w:val="00D64095"/>
    <w:rsid w:val="00D82D40"/>
    <w:rsid w:val="00D842E5"/>
    <w:rsid w:val="00D96A5A"/>
    <w:rsid w:val="00DB32C4"/>
    <w:rsid w:val="00DB728A"/>
    <w:rsid w:val="00DD2091"/>
    <w:rsid w:val="00DD3B50"/>
    <w:rsid w:val="00DE49BD"/>
    <w:rsid w:val="00E20AF5"/>
    <w:rsid w:val="00E62656"/>
    <w:rsid w:val="00E6571C"/>
    <w:rsid w:val="00E67215"/>
    <w:rsid w:val="00E90283"/>
    <w:rsid w:val="00EB5C7D"/>
    <w:rsid w:val="00ED3936"/>
    <w:rsid w:val="00F02F37"/>
    <w:rsid w:val="00F105C2"/>
    <w:rsid w:val="00F2132F"/>
    <w:rsid w:val="00F44582"/>
    <w:rsid w:val="00F4653B"/>
    <w:rsid w:val="00F707CD"/>
    <w:rsid w:val="00F74060"/>
    <w:rsid w:val="00F9029D"/>
    <w:rsid w:val="00F90C0D"/>
    <w:rsid w:val="00F92818"/>
    <w:rsid w:val="00F95801"/>
    <w:rsid w:val="00FA21F5"/>
    <w:rsid w:val="00FA2FD1"/>
    <w:rsid w:val="00FD25EB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49C0D"/>
  <w15:chartTrackingRefBased/>
  <w15:docId w15:val="{BC381557-502F-45DD-8377-09239AD3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2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25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C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2516"/>
    <w:rPr>
      <w:b/>
      <w:bCs/>
    </w:rPr>
  </w:style>
  <w:style w:type="character" w:styleId="Emphasis">
    <w:name w:val="Emphasis"/>
    <w:basedOn w:val="DefaultParagraphFont"/>
    <w:uiPriority w:val="20"/>
    <w:qFormat/>
    <w:rsid w:val="005B251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B251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72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16" ma:contentTypeDescription="Create a new document." ma:contentTypeScope="" ma:versionID="526c605df1dcc5c14e9b9aefa8d21cba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00e02ffecc4b9fbd9d9873d57d6e1d1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c8d96b-0af1-4525-adbc-4d85e8fabbeb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97745-B255-4F25-ACA3-08931A2F7C60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customXml/itemProps2.xml><?xml version="1.0" encoding="utf-8"?>
<ds:datastoreItem xmlns:ds="http://schemas.openxmlformats.org/officeDocument/2006/customXml" ds:itemID="{42D8044C-0140-47F9-ABAA-3DA3CE023929}"/>
</file>

<file path=customXml/itemProps3.xml><?xml version="1.0" encoding="utf-8"?>
<ds:datastoreItem xmlns:ds="http://schemas.openxmlformats.org/officeDocument/2006/customXml" ds:itemID="{BB6C2C86-9E23-46C0-9B87-0690F7126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Marshall</dc:creator>
  <cp:keywords/>
  <dc:description/>
  <cp:lastModifiedBy>Tom Lewis-Hood</cp:lastModifiedBy>
  <cp:revision>123</cp:revision>
  <cp:lastPrinted>2022-09-12T15:15:00Z</cp:lastPrinted>
  <dcterms:created xsi:type="dcterms:W3CDTF">2025-10-24T09:02:00Z</dcterms:created>
  <dcterms:modified xsi:type="dcterms:W3CDTF">2025-10-27T14:44:00Z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192dd6088d630868a66b7a40b94e0e9733dfecfd35cbdf70c2a888e4997b3b35</vt:lpwstr>
  </property>
  <property fmtid="{D5CDD505-2E9C-101B-9397-08002B2CF9AE}" pid="3" name="ContentTypeId">
    <vt:lpwstr>0x0101007DD89CD80F1CD241A3DF87BF63E4A103</vt:lpwstr>
  </property>
  <property fmtid="{D5CDD505-2E9C-101B-9397-08002B2CF9AE}" pid="4" name="Order">
    <vt:r8>21164000</vt:r8>
  </property>
  <property fmtid="{D5CDD505-2E9C-101B-9397-08002B2CF9AE}" pid="5" name="MediaServiceImageTags">
    <vt:lpwstr/>
  </property>
</Properties>
</file>